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F7F3F" w14:textId="5E7E5E73" w:rsidR="000D328E" w:rsidRDefault="00973FD9" w:rsidP="00973FD9">
      <w:pPr>
        <w:pStyle w:val="Heading1"/>
      </w:pPr>
      <w:r>
        <w:t>Research Coordinator Considerations</w:t>
      </w:r>
    </w:p>
    <w:p w14:paraId="0EB36133" w14:textId="77777777" w:rsidR="00973FD9" w:rsidRDefault="00973FD9" w:rsidP="00973FD9"/>
    <w:p w14:paraId="4D4E8C0C" w14:textId="04926E2F" w:rsidR="00973FD9" w:rsidRDefault="551C00E7" w:rsidP="00973FD9">
      <w:r>
        <w:t xml:space="preserve">Research coordinators are the backbone of our research studies, implementing them and enrolling participants, as well as conducting follow-ups. There’s no expectation of research coordinators to hold </w:t>
      </w:r>
      <w:proofErr w:type="gramStart"/>
      <w:r>
        <w:t>all of</w:t>
      </w:r>
      <w:proofErr w:type="gramEnd"/>
      <w:r>
        <w:t xml:space="preserve"> this information alone. Accessibility is a commitment each of us make and work together to uphold. </w:t>
      </w:r>
    </w:p>
    <w:p w14:paraId="3AC482D0" w14:textId="5512C8F5" w:rsidR="00973FD9" w:rsidRDefault="551C00E7" w:rsidP="551C00E7">
      <w:pPr>
        <w:pStyle w:val="Heading1"/>
      </w:pPr>
      <w:r>
        <w:t>Proactive Moments</w:t>
      </w:r>
    </w:p>
    <w:p w14:paraId="6BFA6F77" w14:textId="0C0652DB" w:rsidR="00973FD9" w:rsidRPr="00973FD9" w:rsidRDefault="551C00E7" w:rsidP="00973FD9">
      <w:pPr>
        <w:numPr>
          <w:ilvl w:val="0"/>
          <w:numId w:val="2"/>
        </w:numPr>
      </w:pPr>
      <w:r>
        <w:t xml:space="preserve">When you’re looking at your patients for the day, see what the care team has entered about the patient. Keep an eye out for visual disabilities, Deaf or Hard of Hearing diagnoses- and any possible notes about assistive devices. </w:t>
      </w:r>
    </w:p>
    <w:p w14:paraId="2F609823" w14:textId="0037C60E" w:rsidR="00973FD9" w:rsidRPr="00973FD9" w:rsidRDefault="1B0977BC" w:rsidP="00973FD9">
      <w:pPr>
        <w:numPr>
          <w:ilvl w:val="1"/>
          <w:numId w:val="2"/>
        </w:numPr>
      </w:pPr>
      <w:r>
        <w:t>Your more useful information may come from the Adverse Event assessment.</w:t>
      </w:r>
    </w:p>
    <w:p w14:paraId="03A8B157" w14:textId="311AE9F6" w:rsidR="00973FD9" w:rsidRPr="00973FD9" w:rsidRDefault="551C00E7" w:rsidP="00973FD9">
      <w:pPr>
        <w:numPr>
          <w:ilvl w:val="1"/>
          <w:numId w:val="2"/>
        </w:numPr>
      </w:pPr>
      <w:r>
        <w:t>Don’t forget to notate assistive devices, if they’ve not already been notated</w:t>
      </w:r>
    </w:p>
    <w:p w14:paraId="3CF117D0" w14:textId="7224B671" w:rsidR="00973FD9" w:rsidRPr="00973FD9" w:rsidRDefault="00973FD9" w:rsidP="00973FD9">
      <w:pPr>
        <w:numPr>
          <w:ilvl w:val="1"/>
          <w:numId w:val="2"/>
        </w:numPr>
      </w:pPr>
      <w:r w:rsidRPr="00973FD9">
        <w:t>Think about grouping questions</w:t>
      </w:r>
      <w:r>
        <w:t xml:space="preserve"> for a reduction of cognitive load. </w:t>
      </w:r>
    </w:p>
    <w:p w14:paraId="156ED000" w14:textId="61CB574B" w:rsidR="00973FD9" w:rsidRPr="00973FD9" w:rsidRDefault="1B0977BC" w:rsidP="00973FD9">
      <w:pPr>
        <w:numPr>
          <w:ilvl w:val="0"/>
          <w:numId w:val="2"/>
        </w:numPr>
      </w:pPr>
      <w:r>
        <w:t xml:space="preserve">In general, err on the side of interacting with the patient versus depending on the caregiver unless indicated. </w:t>
      </w:r>
    </w:p>
    <w:p w14:paraId="2E8E2794" w14:textId="52689A18" w:rsidR="00973FD9" w:rsidRDefault="1B0977BC" w:rsidP="00973FD9">
      <w:pPr>
        <w:numPr>
          <w:ilvl w:val="0"/>
          <w:numId w:val="2"/>
        </w:numPr>
      </w:pPr>
      <w:r>
        <w:t>If you offer cross-coverage on areas, there needs to be consideration on how disability might show up differently.</w:t>
      </w:r>
    </w:p>
    <w:p w14:paraId="59B7A9A9" w14:textId="613A4250" w:rsidR="00973FD9" w:rsidRDefault="551C00E7" w:rsidP="00D027B9">
      <w:pPr>
        <w:numPr>
          <w:ilvl w:val="1"/>
          <w:numId w:val="2"/>
        </w:numPr>
      </w:pPr>
      <w:r>
        <w:t xml:space="preserve">For example, with head and neck cancer, some patients use an electrolarynx, which helps the vibrations from their vocal folds be translated into words. At times, this can be difficult to </w:t>
      </w:r>
      <w:proofErr w:type="gramStart"/>
      <w:r>
        <w:t>understand, and</w:t>
      </w:r>
      <w:proofErr w:type="gramEnd"/>
      <w:r>
        <w:t xml:space="preserve"> being aware of what devices and giving yourself the time and space to process what’s occurring is helpful.</w:t>
      </w:r>
    </w:p>
    <w:p w14:paraId="24891CA5" w14:textId="040FE262" w:rsidR="551C00E7" w:rsidRDefault="551C00E7" w:rsidP="551C00E7">
      <w:pPr>
        <w:pStyle w:val="Heading1"/>
        <w:spacing w:line="259" w:lineRule="auto"/>
      </w:pPr>
      <w:r>
        <w:t>Resources and Further Notes</w:t>
      </w:r>
    </w:p>
    <w:p w14:paraId="128BE135" w14:textId="038EC434" w:rsidR="551C00E7" w:rsidRDefault="551C00E7" w:rsidP="551C00E7">
      <w:pPr>
        <w:pStyle w:val="ListParagraph"/>
        <w:numPr>
          <w:ilvl w:val="0"/>
          <w:numId w:val="1"/>
        </w:numPr>
      </w:pPr>
      <w:r>
        <w:t>Within IRB documents, there will be a plain language section. Plan to utilize that to help consent your participants, rather than overloading them with information.</w:t>
      </w:r>
    </w:p>
    <w:p w14:paraId="3EE9FF47" w14:textId="79178F42" w:rsidR="551C00E7" w:rsidRDefault="551C00E7" w:rsidP="551C00E7">
      <w:pPr>
        <w:pStyle w:val="ListParagraph"/>
        <w:numPr>
          <w:ilvl w:val="0"/>
          <w:numId w:val="1"/>
        </w:numPr>
      </w:pPr>
      <w:r>
        <w:t>Reading that section aloud could be useful for people who may be dealing with impacts to cognitive or visual impacts.</w:t>
      </w:r>
    </w:p>
    <w:p w14:paraId="5C2C7DA8" w14:textId="4A8C0506" w:rsidR="551C00E7" w:rsidRDefault="551C00E7" w:rsidP="551C00E7">
      <w:pPr>
        <w:pStyle w:val="ListParagraph"/>
        <w:numPr>
          <w:ilvl w:val="0"/>
          <w:numId w:val="1"/>
        </w:numPr>
      </w:pPr>
      <w:r>
        <w:t>Access to large print documents can also be very useful here- or tablets where the text can be enlarged. For 8Ways to Health large print documents, please contact Keisha Windham, DPPA. (finalize hyperlink)</w:t>
      </w:r>
    </w:p>
    <w:p w14:paraId="1954AA7F" w14:textId="16A5A541" w:rsidR="551C00E7" w:rsidRDefault="551C00E7" w:rsidP="551C00E7">
      <w:pPr>
        <w:pStyle w:val="ListParagraph"/>
        <w:numPr>
          <w:ilvl w:val="0"/>
          <w:numId w:val="1"/>
        </w:numPr>
      </w:pPr>
      <w:r>
        <w:t>Interpreter access for BJC/WashU Physicians can be accessed via:</w:t>
      </w:r>
    </w:p>
    <w:p w14:paraId="0C904323" w14:textId="089FE0FA" w:rsidR="551C00E7" w:rsidRDefault="551C00E7" w:rsidP="551C00E7">
      <w:pPr>
        <w:pStyle w:val="ListParagraph"/>
        <w:numPr>
          <w:ilvl w:val="1"/>
          <w:numId w:val="1"/>
        </w:numPr>
      </w:pPr>
      <w:r>
        <w:t>Barnes-Jewish Hospital Language Services (24/7 coverage)</w:t>
      </w:r>
    </w:p>
    <w:p w14:paraId="550282A6" w14:textId="1B83FF84" w:rsidR="551C00E7" w:rsidRDefault="551C00E7" w:rsidP="551C00E7">
      <w:pPr>
        <w:pStyle w:val="ListParagraph"/>
        <w:numPr>
          <w:ilvl w:val="2"/>
          <w:numId w:val="1"/>
        </w:numPr>
      </w:pPr>
      <w:r>
        <w:t>314-747-5682</w:t>
      </w:r>
    </w:p>
    <w:p w14:paraId="640BD738" w14:textId="155D5193" w:rsidR="551C00E7" w:rsidRDefault="551C00E7" w:rsidP="551C00E7">
      <w:pPr>
        <w:pStyle w:val="ListParagraph"/>
        <w:numPr>
          <w:ilvl w:val="0"/>
          <w:numId w:val="1"/>
        </w:numPr>
      </w:pPr>
      <w:r>
        <w:t xml:space="preserve">When you walk into a room, work to think about where you stand- can the person see your face at all points? Are you blocking a pathway they might need to utilize, or reducing the space for them to be able to maneuver? </w:t>
      </w:r>
    </w:p>
    <w:p w14:paraId="77D256FE" w14:textId="6C5C3E9F" w:rsidR="551C00E7" w:rsidRDefault="551C00E7" w:rsidP="551C00E7">
      <w:pPr>
        <w:pStyle w:val="ListParagraph"/>
        <w:numPr>
          <w:ilvl w:val="0"/>
          <w:numId w:val="1"/>
        </w:numPr>
      </w:pPr>
      <w:r>
        <w:t>Don’t forget to replace any assistive devices in the spot they were in if you shifted them to be able to get closer to the participant.</w:t>
      </w:r>
    </w:p>
    <w:p w14:paraId="186D9231" w14:textId="08EECC9C" w:rsidR="551C00E7" w:rsidRDefault="551C00E7" w:rsidP="551C00E7"/>
    <w:p w14:paraId="3D1A6C0C" w14:textId="1DA67BC8" w:rsidR="551C00E7" w:rsidRDefault="551C00E7" w:rsidP="009569E0">
      <w:pPr>
        <w:jc w:val="center"/>
      </w:pPr>
      <w:r>
        <w:rPr>
          <w:noProof/>
        </w:rPr>
        <w:drawing>
          <wp:inline distT="0" distB="0" distL="0" distR="0" wp14:anchorId="71C10277" wp14:editId="7F2FD7CD">
            <wp:extent cx="5794259" cy="560833"/>
            <wp:effectExtent l="0" t="0" r="0" b="0"/>
            <wp:docPr id="1816255956" name="Picture 1816255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94259" cy="560833"/>
                    </a:xfrm>
                    <a:prstGeom prst="rect">
                      <a:avLst/>
                    </a:prstGeom>
                  </pic:spPr>
                </pic:pic>
              </a:graphicData>
            </a:graphic>
          </wp:inline>
        </w:drawing>
      </w:r>
    </w:p>
    <w:sectPr w:rsidR="551C00E7" w:rsidSect="009569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9440A"/>
    <w:multiLevelType w:val="hybridMultilevel"/>
    <w:tmpl w:val="FE327416"/>
    <w:lvl w:ilvl="0" w:tplc="F3AE10A4">
      <w:start w:val="1"/>
      <w:numFmt w:val="bullet"/>
      <w:lvlText w:val="•"/>
      <w:lvlJc w:val="left"/>
      <w:pPr>
        <w:tabs>
          <w:tab w:val="num" w:pos="720"/>
        </w:tabs>
        <w:ind w:left="720" w:hanging="360"/>
      </w:pPr>
      <w:rPr>
        <w:rFonts w:ascii="Times" w:hAnsi="Times" w:hint="default"/>
      </w:rPr>
    </w:lvl>
    <w:lvl w:ilvl="1" w:tplc="C8F88C86">
      <w:numFmt w:val="bullet"/>
      <w:lvlText w:val="•"/>
      <w:lvlJc w:val="left"/>
      <w:pPr>
        <w:tabs>
          <w:tab w:val="num" w:pos="1440"/>
        </w:tabs>
        <w:ind w:left="1440" w:hanging="360"/>
      </w:pPr>
      <w:rPr>
        <w:rFonts w:ascii="Times" w:hAnsi="Times" w:hint="default"/>
      </w:rPr>
    </w:lvl>
    <w:lvl w:ilvl="2" w:tplc="5B703F3E" w:tentative="1">
      <w:start w:val="1"/>
      <w:numFmt w:val="bullet"/>
      <w:lvlText w:val="•"/>
      <w:lvlJc w:val="left"/>
      <w:pPr>
        <w:tabs>
          <w:tab w:val="num" w:pos="2160"/>
        </w:tabs>
        <w:ind w:left="2160" w:hanging="360"/>
      </w:pPr>
      <w:rPr>
        <w:rFonts w:ascii="Times" w:hAnsi="Times" w:hint="default"/>
      </w:rPr>
    </w:lvl>
    <w:lvl w:ilvl="3" w:tplc="8D323A28" w:tentative="1">
      <w:start w:val="1"/>
      <w:numFmt w:val="bullet"/>
      <w:lvlText w:val="•"/>
      <w:lvlJc w:val="left"/>
      <w:pPr>
        <w:tabs>
          <w:tab w:val="num" w:pos="2880"/>
        </w:tabs>
        <w:ind w:left="2880" w:hanging="360"/>
      </w:pPr>
      <w:rPr>
        <w:rFonts w:ascii="Times" w:hAnsi="Times" w:hint="default"/>
      </w:rPr>
    </w:lvl>
    <w:lvl w:ilvl="4" w:tplc="88C223FC" w:tentative="1">
      <w:start w:val="1"/>
      <w:numFmt w:val="bullet"/>
      <w:lvlText w:val="•"/>
      <w:lvlJc w:val="left"/>
      <w:pPr>
        <w:tabs>
          <w:tab w:val="num" w:pos="3600"/>
        </w:tabs>
        <w:ind w:left="3600" w:hanging="360"/>
      </w:pPr>
      <w:rPr>
        <w:rFonts w:ascii="Times" w:hAnsi="Times" w:hint="default"/>
      </w:rPr>
    </w:lvl>
    <w:lvl w:ilvl="5" w:tplc="F8EE8ED8" w:tentative="1">
      <w:start w:val="1"/>
      <w:numFmt w:val="bullet"/>
      <w:lvlText w:val="•"/>
      <w:lvlJc w:val="left"/>
      <w:pPr>
        <w:tabs>
          <w:tab w:val="num" w:pos="4320"/>
        </w:tabs>
        <w:ind w:left="4320" w:hanging="360"/>
      </w:pPr>
      <w:rPr>
        <w:rFonts w:ascii="Times" w:hAnsi="Times" w:hint="default"/>
      </w:rPr>
    </w:lvl>
    <w:lvl w:ilvl="6" w:tplc="69BE2646" w:tentative="1">
      <w:start w:val="1"/>
      <w:numFmt w:val="bullet"/>
      <w:lvlText w:val="•"/>
      <w:lvlJc w:val="left"/>
      <w:pPr>
        <w:tabs>
          <w:tab w:val="num" w:pos="5040"/>
        </w:tabs>
        <w:ind w:left="5040" w:hanging="360"/>
      </w:pPr>
      <w:rPr>
        <w:rFonts w:ascii="Times" w:hAnsi="Times" w:hint="default"/>
      </w:rPr>
    </w:lvl>
    <w:lvl w:ilvl="7" w:tplc="B0D6B146" w:tentative="1">
      <w:start w:val="1"/>
      <w:numFmt w:val="bullet"/>
      <w:lvlText w:val="•"/>
      <w:lvlJc w:val="left"/>
      <w:pPr>
        <w:tabs>
          <w:tab w:val="num" w:pos="5760"/>
        </w:tabs>
        <w:ind w:left="5760" w:hanging="360"/>
      </w:pPr>
      <w:rPr>
        <w:rFonts w:ascii="Times" w:hAnsi="Times" w:hint="default"/>
      </w:rPr>
    </w:lvl>
    <w:lvl w:ilvl="8" w:tplc="4BAEA728" w:tentative="1">
      <w:start w:val="1"/>
      <w:numFmt w:val="bullet"/>
      <w:lvlText w:val="•"/>
      <w:lvlJc w:val="left"/>
      <w:pPr>
        <w:tabs>
          <w:tab w:val="num" w:pos="6480"/>
        </w:tabs>
        <w:ind w:left="6480" w:hanging="360"/>
      </w:pPr>
      <w:rPr>
        <w:rFonts w:ascii="Times" w:hAnsi="Times" w:hint="default"/>
      </w:rPr>
    </w:lvl>
  </w:abstractNum>
  <w:abstractNum w:abstractNumId="1" w15:restartNumberingAfterBreak="0">
    <w:nsid w:val="21E4B15E"/>
    <w:multiLevelType w:val="hybridMultilevel"/>
    <w:tmpl w:val="4B0A1524"/>
    <w:lvl w:ilvl="0" w:tplc="56763D48">
      <w:start w:val="1"/>
      <w:numFmt w:val="bullet"/>
      <w:lvlText w:val=""/>
      <w:lvlJc w:val="left"/>
      <w:pPr>
        <w:ind w:left="720" w:hanging="360"/>
      </w:pPr>
      <w:rPr>
        <w:rFonts w:ascii="Symbol" w:hAnsi="Symbol" w:hint="default"/>
      </w:rPr>
    </w:lvl>
    <w:lvl w:ilvl="1" w:tplc="814CC1E6">
      <w:start w:val="1"/>
      <w:numFmt w:val="bullet"/>
      <w:lvlText w:val="o"/>
      <w:lvlJc w:val="left"/>
      <w:pPr>
        <w:ind w:left="1440" w:hanging="360"/>
      </w:pPr>
      <w:rPr>
        <w:rFonts w:ascii="Courier New" w:hAnsi="Courier New" w:hint="default"/>
      </w:rPr>
    </w:lvl>
    <w:lvl w:ilvl="2" w:tplc="086EBFFA">
      <w:start w:val="1"/>
      <w:numFmt w:val="bullet"/>
      <w:lvlText w:val=""/>
      <w:lvlJc w:val="left"/>
      <w:pPr>
        <w:ind w:left="2160" w:hanging="360"/>
      </w:pPr>
      <w:rPr>
        <w:rFonts w:ascii="Wingdings" w:hAnsi="Wingdings" w:hint="default"/>
      </w:rPr>
    </w:lvl>
    <w:lvl w:ilvl="3" w:tplc="6B34440A">
      <w:start w:val="1"/>
      <w:numFmt w:val="bullet"/>
      <w:lvlText w:val=""/>
      <w:lvlJc w:val="left"/>
      <w:pPr>
        <w:ind w:left="2880" w:hanging="360"/>
      </w:pPr>
      <w:rPr>
        <w:rFonts w:ascii="Symbol" w:hAnsi="Symbol" w:hint="default"/>
      </w:rPr>
    </w:lvl>
    <w:lvl w:ilvl="4" w:tplc="8CDC7B4C">
      <w:start w:val="1"/>
      <w:numFmt w:val="bullet"/>
      <w:lvlText w:val="o"/>
      <w:lvlJc w:val="left"/>
      <w:pPr>
        <w:ind w:left="3600" w:hanging="360"/>
      </w:pPr>
      <w:rPr>
        <w:rFonts w:ascii="Courier New" w:hAnsi="Courier New" w:hint="default"/>
      </w:rPr>
    </w:lvl>
    <w:lvl w:ilvl="5" w:tplc="B1664332">
      <w:start w:val="1"/>
      <w:numFmt w:val="bullet"/>
      <w:lvlText w:val=""/>
      <w:lvlJc w:val="left"/>
      <w:pPr>
        <w:ind w:left="4320" w:hanging="360"/>
      </w:pPr>
      <w:rPr>
        <w:rFonts w:ascii="Wingdings" w:hAnsi="Wingdings" w:hint="default"/>
      </w:rPr>
    </w:lvl>
    <w:lvl w:ilvl="6" w:tplc="42B6A628">
      <w:start w:val="1"/>
      <w:numFmt w:val="bullet"/>
      <w:lvlText w:val=""/>
      <w:lvlJc w:val="left"/>
      <w:pPr>
        <w:ind w:left="5040" w:hanging="360"/>
      </w:pPr>
      <w:rPr>
        <w:rFonts w:ascii="Symbol" w:hAnsi="Symbol" w:hint="default"/>
      </w:rPr>
    </w:lvl>
    <w:lvl w:ilvl="7" w:tplc="D0EEC856">
      <w:start w:val="1"/>
      <w:numFmt w:val="bullet"/>
      <w:lvlText w:val="o"/>
      <w:lvlJc w:val="left"/>
      <w:pPr>
        <w:ind w:left="5760" w:hanging="360"/>
      </w:pPr>
      <w:rPr>
        <w:rFonts w:ascii="Courier New" w:hAnsi="Courier New" w:hint="default"/>
      </w:rPr>
    </w:lvl>
    <w:lvl w:ilvl="8" w:tplc="280230E0">
      <w:start w:val="1"/>
      <w:numFmt w:val="bullet"/>
      <w:lvlText w:val=""/>
      <w:lvlJc w:val="left"/>
      <w:pPr>
        <w:ind w:left="6480" w:hanging="360"/>
      </w:pPr>
      <w:rPr>
        <w:rFonts w:ascii="Wingdings" w:hAnsi="Wingdings" w:hint="default"/>
      </w:rPr>
    </w:lvl>
  </w:abstractNum>
  <w:abstractNum w:abstractNumId="2" w15:restartNumberingAfterBreak="0">
    <w:nsid w:val="63ED5810"/>
    <w:multiLevelType w:val="hybridMultilevel"/>
    <w:tmpl w:val="438A844C"/>
    <w:lvl w:ilvl="0" w:tplc="E1CE4BC0">
      <w:start w:val="1"/>
      <w:numFmt w:val="bullet"/>
      <w:lvlText w:val="•"/>
      <w:lvlJc w:val="left"/>
      <w:pPr>
        <w:tabs>
          <w:tab w:val="num" w:pos="720"/>
        </w:tabs>
        <w:ind w:left="720" w:hanging="360"/>
      </w:pPr>
      <w:rPr>
        <w:rFonts w:ascii="Times" w:hAnsi="Times" w:hint="default"/>
      </w:rPr>
    </w:lvl>
    <w:lvl w:ilvl="1" w:tplc="7514ECC0">
      <w:numFmt w:val="bullet"/>
      <w:lvlText w:val="•"/>
      <w:lvlJc w:val="left"/>
      <w:pPr>
        <w:tabs>
          <w:tab w:val="num" w:pos="1440"/>
        </w:tabs>
        <w:ind w:left="1440" w:hanging="360"/>
      </w:pPr>
      <w:rPr>
        <w:rFonts w:ascii="Times" w:hAnsi="Times" w:hint="default"/>
      </w:rPr>
    </w:lvl>
    <w:lvl w:ilvl="2" w:tplc="41A8387A" w:tentative="1">
      <w:start w:val="1"/>
      <w:numFmt w:val="bullet"/>
      <w:lvlText w:val="•"/>
      <w:lvlJc w:val="left"/>
      <w:pPr>
        <w:tabs>
          <w:tab w:val="num" w:pos="2160"/>
        </w:tabs>
        <w:ind w:left="2160" w:hanging="360"/>
      </w:pPr>
      <w:rPr>
        <w:rFonts w:ascii="Times" w:hAnsi="Times" w:hint="default"/>
      </w:rPr>
    </w:lvl>
    <w:lvl w:ilvl="3" w:tplc="FDDECB1A" w:tentative="1">
      <w:start w:val="1"/>
      <w:numFmt w:val="bullet"/>
      <w:lvlText w:val="•"/>
      <w:lvlJc w:val="left"/>
      <w:pPr>
        <w:tabs>
          <w:tab w:val="num" w:pos="2880"/>
        </w:tabs>
        <w:ind w:left="2880" w:hanging="360"/>
      </w:pPr>
      <w:rPr>
        <w:rFonts w:ascii="Times" w:hAnsi="Times" w:hint="default"/>
      </w:rPr>
    </w:lvl>
    <w:lvl w:ilvl="4" w:tplc="1CB802F2" w:tentative="1">
      <w:start w:val="1"/>
      <w:numFmt w:val="bullet"/>
      <w:lvlText w:val="•"/>
      <w:lvlJc w:val="left"/>
      <w:pPr>
        <w:tabs>
          <w:tab w:val="num" w:pos="3600"/>
        </w:tabs>
        <w:ind w:left="3600" w:hanging="360"/>
      </w:pPr>
      <w:rPr>
        <w:rFonts w:ascii="Times" w:hAnsi="Times" w:hint="default"/>
      </w:rPr>
    </w:lvl>
    <w:lvl w:ilvl="5" w:tplc="76921C0A" w:tentative="1">
      <w:start w:val="1"/>
      <w:numFmt w:val="bullet"/>
      <w:lvlText w:val="•"/>
      <w:lvlJc w:val="left"/>
      <w:pPr>
        <w:tabs>
          <w:tab w:val="num" w:pos="4320"/>
        </w:tabs>
        <w:ind w:left="4320" w:hanging="360"/>
      </w:pPr>
      <w:rPr>
        <w:rFonts w:ascii="Times" w:hAnsi="Times" w:hint="default"/>
      </w:rPr>
    </w:lvl>
    <w:lvl w:ilvl="6" w:tplc="06D8D33A" w:tentative="1">
      <w:start w:val="1"/>
      <w:numFmt w:val="bullet"/>
      <w:lvlText w:val="•"/>
      <w:lvlJc w:val="left"/>
      <w:pPr>
        <w:tabs>
          <w:tab w:val="num" w:pos="5040"/>
        </w:tabs>
        <w:ind w:left="5040" w:hanging="360"/>
      </w:pPr>
      <w:rPr>
        <w:rFonts w:ascii="Times" w:hAnsi="Times" w:hint="default"/>
      </w:rPr>
    </w:lvl>
    <w:lvl w:ilvl="7" w:tplc="D216402A" w:tentative="1">
      <w:start w:val="1"/>
      <w:numFmt w:val="bullet"/>
      <w:lvlText w:val="•"/>
      <w:lvlJc w:val="left"/>
      <w:pPr>
        <w:tabs>
          <w:tab w:val="num" w:pos="5760"/>
        </w:tabs>
        <w:ind w:left="5760" w:hanging="360"/>
      </w:pPr>
      <w:rPr>
        <w:rFonts w:ascii="Times" w:hAnsi="Times" w:hint="default"/>
      </w:rPr>
    </w:lvl>
    <w:lvl w:ilvl="8" w:tplc="FEB03206" w:tentative="1">
      <w:start w:val="1"/>
      <w:numFmt w:val="bullet"/>
      <w:lvlText w:val="•"/>
      <w:lvlJc w:val="left"/>
      <w:pPr>
        <w:tabs>
          <w:tab w:val="num" w:pos="6480"/>
        </w:tabs>
        <w:ind w:left="6480" w:hanging="360"/>
      </w:pPr>
      <w:rPr>
        <w:rFonts w:ascii="Times" w:hAnsi="Times" w:hint="default"/>
      </w:rPr>
    </w:lvl>
  </w:abstractNum>
  <w:num w:numId="1" w16cid:durableId="195312973">
    <w:abstractNumId w:val="1"/>
  </w:num>
  <w:num w:numId="2" w16cid:durableId="744257835">
    <w:abstractNumId w:val="2"/>
  </w:num>
  <w:num w:numId="3" w16cid:durableId="577979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D9"/>
    <w:rsid w:val="000D328E"/>
    <w:rsid w:val="003105EA"/>
    <w:rsid w:val="005B1A75"/>
    <w:rsid w:val="00783A84"/>
    <w:rsid w:val="009569E0"/>
    <w:rsid w:val="00973FD9"/>
    <w:rsid w:val="009B7036"/>
    <w:rsid w:val="00D027B9"/>
    <w:rsid w:val="1B0977BC"/>
    <w:rsid w:val="551C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C255"/>
  <w15:chartTrackingRefBased/>
  <w15:docId w15:val="{F966F9FD-2882-D346-B779-79986471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F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F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F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F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FD9"/>
    <w:rPr>
      <w:rFonts w:eastAsiaTheme="majorEastAsia" w:cstheme="majorBidi"/>
      <w:color w:val="272727" w:themeColor="text1" w:themeTint="D8"/>
    </w:rPr>
  </w:style>
  <w:style w:type="paragraph" w:styleId="Title">
    <w:name w:val="Title"/>
    <w:basedOn w:val="Normal"/>
    <w:next w:val="Normal"/>
    <w:link w:val="TitleChar"/>
    <w:uiPriority w:val="10"/>
    <w:qFormat/>
    <w:rsid w:val="00973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F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3FD9"/>
    <w:rPr>
      <w:i/>
      <w:iCs/>
      <w:color w:val="404040" w:themeColor="text1" w:themeTint="BF"/>
    </w:rPr>
  </w:style>
  <w:style w:type="paragraph" w:styleId="ListParagraph">
    <w:name w:val="List Paragraph"/>
    <w:basedOn w:val="Normal"/>
    <w:uiPriority w:val="34"/>
    <w:qFormat/>
    <w:rsid w:val="00973FD9"/>
    <w:pPr>
      <w:ind w:left="720"/>
      <w:contextualSpacing/>
    </w:pPr>
  </w:style>
  <w:style w:type="character" w:styleId="IntenseEmphasis">
    <w:name w:val="Intense Emphasis"/>
    <w:basedOn w:val="DefaultParagraphFont"/>
    <w:uiPriority w:val="21"/>
    <w:qFormat/>
    <w:rsid w:val="00973FD9"/>
    <w:rPr>
      <w:i/>
      <w:iCs/>
      <w:color w:val="0F4761" w:themeColor="accent1" w:themeShade="BF"/>
    </w:rPr>
  </w:style>
  <w:style w:type="paragraph" w:styleId="IntenseQuote">
    <w:name w:val="Intense Quote"/>
    <w:basedOn w:val="Normal"/>
    <w:next w:val="Normal"/>
    <w:link w:val="IntenseQuoteChar"/>
    <w:uiPriority w:val="30"/>
    <w:qFormat/>
    <w:rsid w:val="00973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FD9"/>
    <w:rPr>
      <w:i/>
      <w:iCs/>
      <w:color w:val="0F4761" w:themeColor="accent1" w:themeShade="BF"/>
    </w:rPr>
  </w:style>
  <w:style w:type="character" w:styleId="IntenseReference">
    <w:name w:val="Intense Reference"/>
    <w:basedOn w:val="DefaultParagraphFont"/>
    <w:uiPriority w:val="32"/>
    <w:qFormat/>
    <w:rsid w:val="00973F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499522">
      <w:bodyDiv w:val="1"/>
      <w:marLeft w:val="0"/>
      <w:marRight w:val="0"/>
      <w:marTop w:val="0"/>
      <w:marBottom w:val="0"/>
      <w:divBdr>
        <w:top w:val="none" w:sz="0" w:space="0" w:color="auto"/>
        <w:left w:val="none" w:sz="0" w:space="0" w:color="auto"/>
        <w:bottom w:val="none" w:sz="0" w:space="0" w:color="auto"/>
        <w:right w:val="none" w:sz="0" w:space="0" w:color="auto"/>
      </w:divBdr>
      <w:divsChild>
        <w:div w:id="1311865948">
          <w:marLeft w:val="547"/>
          <w:marRight w:val="0"/>
          <w:marTop w:val="96"/>
          <w:marBottom w:val="0"/>
          <w:divBdr>
            <w:top w:val="none" w:sz="0" w:space="0" w:color="auto"/>
            <w:left w:val="none" w:sz="0" w:space="0" w:color="auto"/>
            <w:bottom w:val="none" w:sz="0" w:space="0" w:color="auto"/>
            <w:right w:val="none" w:sz="0" w:space="0" w:color="auto"/>
          </w:divBdr>
        </w:div>
        <w:div w:id="551044907">
          <w:marLeft w:val="547"/>
          <w:marRight w:val="0"/>
          <w:marTop w:val="96"/>
          <w:marBottom w:val="0"/>
          <w:divBdr>
            <w:top w:val="none" w:sz="0" w:space="0" w:color="auto"/>
            <w:left w:val="none" w:sz="0" w:space="0" w:color="auto"/>
            <w:bottom w:val="none" w:sz="0" w:space="0" w:color="auto"/>
            <w:right w:val="none" w:sz="0" w:space="0" w:color="auto"/>
          </w:divBdr>
        </w:div>
        <w:div w:id="952132582">
          <w:marLeft w:val="1166"/>
          <w:marRight w:val="0"/>
          <w:marTop w:val="77"/>
          <w:marBottom w:val="0"/>
          <w:divBdr>
            <w:top w:val="none" w:sz="0" w:space="0" w:color="auto"/>
            <w:left w:val="none" w:sz="0" w:space="0" w:color="auto"/>
            <w:bottom w:val="none" w:sz="0" w:space="0" w:color="auto"/>
            <w:right w:val="none" w:sz="0" w:space="0" w:color="auto"/>
          </w:divBdr>
        </w:div>
        <w:div w:id="362631082">
          <w:marLeft w:val="1166"/>
          <w:marRight w:val="0"/>
          <w:marTop w:val="77"/>
          <w:marBottom w:val="0"/>
          <w:divBdr>
            <w:top w:val="none" w:sz="0" w:space="0" w:color="auto"/>
            <w:left w:val="none" w:sz="0" w:space="0" w:color="auto"/>
            <w:bottom w:val="none" w:sz="0" w:space="0" w:color="auto"/>
            <w:right w:val="none" w:sz="0" w:space="0" w:color="auto"/>
          </w:divBdr>
        </w:div>
        <w:div w:id="117727069">
          <w:marLeft w:val="1166"/>
          <w:marRight w:val="0"/>
          <w:marTop w:val="77"/>
          <w:marBottom w:val="0"/>
          <w:divBdr>
            <w:top w:val="none" w:sz="0" w:space="0" w:color="auto"/>
            <w:left w:val="none" w:sz="0" w:space="0" w:color="auto"/>
            <w:bottom w:val="none" w:sz="0" w:space="0" w:color="auto"/>
            <w:right w:val="none" w:sz="0" w:space="0" w:color="auto"/>
          </w:divBdr>
        </w:div>
      </w:divsChild>
    </w:div>
    <w:div w:id="1650555581">
      <w:bodyDiv w:val="1"/>
      <w:marLeft w:val="0"/>
      <w:marRight w:val="0"/>
      <w:marTop w:val="0"/>
      <w:marBottom w:val="0"/>
      <w:divBdr>
        <w:top w:val="none" w:sz="0" w:space="0" w:color="auto"/>
        <w:left w:val="none" w:sz="0" w:space="0" w:color="auto"/>
        <w:bottom w:val="none" w:sz="0" w:space="0" w:color="auto"/>
        <w:right w:val="none" w:sz="0" w:space="0" w:color="auto"/>
      </w:divBdr>
      <w:divsChild>
        <w:div w:id="1163355068">
          <w:marLeft w:val="547"/>
          <w:marRight w:val="0"/>
          <w:marTop w:val="96"/>
          <w:marBottom w:val="0"/>
          <w:divBdr>
            <w:top w:val="none" w:sz="0" w:space="0" w:color="auto"/>
            <w:left w:val="none" w:sz="0" w:space="0" w:color="auto"/>
            <w:bottom w:val="none" w:sz="0" w:space="0" w:color="auto"/>
            <w:right w:val="none" w:sz="0" w:space="0" w:color="auto"/>
          </w:divBdr>
        </w:div>
        <w:div w:id="1105200006">
          <w:marLeft w:val="547"/>
          <w:marRight w:val="0"/>
          <w:marTop w:val="96"/>
          <w:marBottom w:val="0"/>
          <w:divBdr>
            <w:top w:val="none" w:sz="0" w:space="0" w:color="auto"/>
            <w:left w:val="none" w:sz="0" w:space="0" w:color="auto"/>
            <w:bottom w:val="none" w:sz="0" w:space="0" w:color="auto"/>
            <w:right w:val="none" w:sz="0" w:space="0" w:color="auto"/>
          </w:divBdr>
        </w:div>
        <w:div w:id="77213984">
          <w:marLeft w:val="547"/>
          <w:marRight w:val="0"/>
          <w:marTop w:val="96"/>
          <w:marBottom w:val="0"/>
          <w:divBdr>
            <w:top w:val="none" w:sz="0" w:space="0" w:color="auto"/>
            <w:left w:val="none" w:sz="0" w:space="0" w:color="auto"/>
            <w:bottom w:val="none" w:sz="0" w:space="0" w:color="auto"/>
            <w:right w:val="none" w:sz="0" w:space="0" w:color="auto"/>
          </w:divBdr>
        </w:div>
        <w:div w:id="1543131813">
          <w:marLeft w:val="547"/>
          <w:marRight w:val="0"/>
          <w:marTop w:val="96"/>
          <w:marBottom w:val="0"/>
          <w:divBdr>
            <w:top w:val="none" w:sz="0" w:space="0" w:color="auto"/>
            <w:left w:val="none" w:sz="0" w:space="0" w:color="auto"/>
            <w:bottom w:val="none" w:sz="0" w:space="0" w:color="auto"/>
            <w:right w:val="none" w:sz="0" w:space="0" w:color="auto"/>
          </w:divBdr>
        </w:div>
        <w:div w:id="1315332432">
          <w:marLeft w:val="116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Vicki</dc:creator>
  <cp:keywords/>
  <dc:description/>
  <cp:lastModifiedBy>Sorensen, Rachel</cp:lastModifiedBy>
  <cp:revision>6</cp:revision>
  <dcterms:created xsi:type="dcterms:W3CDTF">2024-05-07T18:00:00Z</dcterms:created>
  <dcterms:modified xsi:type="dcterms:W3CDTF">2024-12-16T22:27:00Z</dcterms:modified>
</cp:coreProperties>
</file>