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56E80" w:rsidP="00E256FA" w:rsidRDefault="00E256FA" w14:paraId="6D16841E" w14:textId="301E9BBC">
      <w:pPr>
        <w:pStyle w:val="Heading1"/>
      </w:pPr>
      <w:r>
        <w:t>Poster Session Tips and Ideals</w:t>
      </w:r>
    </w:p>
    <w:p w:rsidR="00E256FA" w:rsidP="00E256FA" w:rsidRDefault="00E256FA" w14:paraId="13BBC3C1" w14:textId="77777777"/>
    <w:p w:rsidR="00E256FA" w:rsidP="00E256FA" w:rsidRDefault="00E256FA" w14:paraId="42A3C07E" w14:textId="7C3D5EA1">
      <w:r>
        <w:t xml:space="preserve">Conference poster sessions allow for the presentation and collaboration on new ideas and works in your field. There are multiple accessibility pinch points that need to be taken into consideration. </w:t>
      </w:r>
    </w:p>
    <w:p w:rsidR="00E256FA" w:rsidP="00E256FA" w:rsidRDefault="00E256FA" w14:paraId="3D008821" w14:textId="77777777"/>
    <w:p w:rsidR="00E256FA" w:rsidP="2A736E06" w:rsidRDefault="00E256FA" w14:paraId="57AC1145" w14:textId="1468FAD2">
      <w:pPr>
        <w:pStyle w:val="Heading2"/>
        <w:rPr>
          <w:highlight w:val="yellow"/>
        </w:rPr>
      </w:pPr>
      <w:r w:rsidR="2A736E06">
        <w:rPr/>
        <w:t>Presenter considerations</w:t>
      </w:r>
    </w:p>
    <w:p w:rsidR="00E256FA" w:rsidP="00E256FA" w:rsidRDefault="00E256FA" w14:paraId="72F435B0" w14:textId="77777777"/>
    <w:p w:rsidR="2A736E06" w:rsidP="2A736E06" w:rsidRDefault="2A736E06" w14:paraId="571F0E82" w14:textId="38657C0B">
      <w:pPr>
        <w:pStyle w:val="Heading3"/>
      </w:pPr>
      <w:r w:rsidR="2A736E06">
        <w:rPr/>
        <w:t>Poster:</w:t>
      </w:r>
    </w:p>
    <w:p w:rsidR="00E256FA" w:rsidP="00E256FA" w:rsidRDefault="00E256FA" w14:paraId="677BFF76" w14:textId="3C806419">
      <w:pPr>
        <w:pStyle w:val="ListParagraph"/>
        <w:numPr>
          <w:ilvl w:val="0"/>
          <w:numId w:val="1"/>
        </w:numPr>
      </w:pPr>
      <w:r>
        <w:t>Present your information in multiple formats</w:t>
      </w:r>
      <w:r w:rsidR="00860E8C">
        <w:t xml:space="preserve">- both tables/figures and </w:t>
      </w:r>
      <w:r w:rsidR="00101332">
        <w:t>via words.</w:t>
      </w:r>
    </w:p>
    <w:p w:rsidR="00E256FA" w:rsidP="00E256FA" w:rsidRDefault="00E256FA" w14:paraId="3075235F" w14:textId="053108F8">
      <w:pPr>
        <w:pStyle w:val="ListParagraph"/>
        <w:numPr>
          <w:ilvl w:val="0"/>
          <w:numId w:val="1"/>
        </w:numPr>
      </w:pPr>
      <w:r>
        <w:t xml:space="preserve">Use plain English, not </w:t>
      </w:r>
      <w:r w:rsidR="00860E8C">
        <w:t xml:space="preserve">technical jargon found in your papers. </w:t>
      </w:r>
    </w:p>
    <w:p w:rsidR="00E256FA" w:rsidP="00E256FA" w:rsidRDefault="00E256FA" w14:paraId="5CDAC0F2" w14:textId="12CE863D" w14:noSpellErr="1">
      <w:pPr>
        <w:pStyle w:val="ListParagraph"/>
        <w:numPr>
          <w:ilvl w:val="0"/>
          <w:numId w:val="1"/>
        </w:numPr>
        <w:rPr/>
      </w:pPr>
      <w:r w:rsidR="2A736E06">
        <w:rPr/>
        <w:t>Be aware of color combinations</w:t>
      </w:r>
      <w:r w:rsidR="2A736E06">
        <w:rPr/>
        <w:t xml:space="preserve"> </w:t>
      </w:r>
      <w:r w:rsidR="2A736E06">
        <w:rPr/>
        <w:t xml:space="preserve">and avoid using colors </w:t>
      </w:r>
      <w:r w:rsidR="2A736E06">
        <w:rPr/>
        <w:t>to</w:t>
      </w:r>
      <w:r w:rsidR="2A736E06">
        <w:rPr/>
        <w:t xml:space="preserve"> differentiate information. </w:t>
      </w:r>
    </w:p>
    <w:p w:rsidR="2A736E06" w:rsidP="2A736E06" w:rsidRDefault="2A736E06" w14:paraId="0E6AF58B" w14:textId="6AE01E72">
      <w:pPr>
        <w:pStyle w:val="ListParagraph"/>
        <w:numPr>
          <w:ilvl w:val="0"/>
          <w:numId w:val="1"/>
        </w:numPr>
        <w:rPr/>
      </w:pPr>
      <w:r w:rsidR="2A736E06">
        <w:rPr/>
        <w:t xml:space="preserve">Blank space is needed and preferred between columns and paragraphs to give people’s brains a chance to process the information they’re taking in. </w:t>
      </w:r>
    </w:p>
    <w:p w:rsidR="2A736E06" w:rsidP="2A736E06" w:rsidRDefault="2A736E06" w14:paraId="239FA9FC" w14:textId="5DD9FF7A">
      <w:pPr>
        <w:pStyle w:val="ListParagraph"/>
        <w:numPr>
          <w:ilvl w:val="0"/>
          <w:numId w:val="1"/>
        </w:numPr>
        <w:rPr/>
      </w:pPr>
      <w:r w:rsidR="2A736E06">
        <w:rPr/>
        <w:t xml:space="preserve">Black text on white background is most preferred for highest contrast. If you choose to use something different, please check your contrasts using </w:t>
      </w:r>
      <w:hyperlink r:id="Rc54bea4eeed44340">
        <w:r w:rsidRPr="2A736E06" w:rsidR="2A736E06">
          <w:rPr>
            <w:rStyle w:val="Hyperlink"/>
          </w:rPr>
          <w:t>this checker.</w:t>
        </w:r>
      </w:hyperlink>
    </w:p>
    <w:p w:rsidR="2A736E06" w:rsidP="2A736E06" w:rsidRDefault="2A736E06" w14:paraId="1A587D1E" w14:textId="11FB8576">
      <w:pPr>
        <w:pStyle w:val="ListParagraph"/>
        <w:numPr>
          <w:ilvl w:val="0"/>
          <w:numId w:val="1"/>
        </w:numPr>
        <w:rPr/>
      </w:pPr>
      <w:r w:rsidR="2A736E06">
        <w:rPr/>
        <w:t xml:space="preserve">From heading to text, use at least 2.0 spacing. From text to other text, use a minimum of 1.2 line spacing. </w:t>
      </w:r>
    </w:p>
    <w:p w:rsidR="2A736E06" w:rsidP="2A736E06" w:rsidRDefault="2A736E06" w14:paraId="28CAD7FC" w14:textId="602B496C">
      <w:pPr>
        <w:pStyle w:val="ListParagraph"/>
        <w:numPr>
          <w:ilvl w:val="0"/>
          <w:numId w:val="1"/>
        </w:numPr>
        <w:rPr/>
      </w:pPr>
      <w:r w:rsidR="2A736E06">
        <w:rPr/>
        <w:t>Consider placing a QR code on your poster that links to a screen-reader accessible version of your poster. - a read-only Word document tagged correctly with headers will be easier to utilize for screen-readers- PDF is least preferred. Do not forget to lock your document before uploading.</w:t>
      </w:r>
    </w:p>
    <w:p w:rsidR="00E256FA" w:rsidP="00E256FA" w:rsidRDefault="00E256FA" w14:paraId="4FAAC7FC" w14:textId="5269CA9E">
      <w:pPr>
        <w:pStyle w:val="ListParagraph"/>
        <w:numPr>
          <w:ilvl w:val="0"/>
          <w:numId w:val="1"/>
        </w:numPr>
        <w:rPr/>
      </w:pPr>
      <w:r w:rsidR="2A736E06">
        <w:rPr/>
        <w:t xml:space="preserve">Use large </w:t>
      </w:r>
      <w:proofErr w:type="spellStart"/>
      <w:r w:rsidR="2A736E06">
        <w:rPr/>
        <w:t>san</w:t>
      </w:r>
      <w:proofErr w:type="spellEnd"/>
      <w:r w:rsidR="2A736E06">
        <w:rPr/>
        <w:t xml:space="preserve"> serif fonts. </w:t>
      </w:r>
    </w:p>
    <w:p w:rsidR="00E256FA" w:rsidP="00E256FA" w:rsidRDefault="00E256FA" w14:paraId="68689CE6" w14:textId="2503AEF0">
      <w:pPr>
        <w:pStyle w:val="ListParagraph"/>
        <w:numPr>
          <w:ilvl w:val="1"/>
          <w:numId w:val="1"/>
        </w:numPr>
      </w:pPr>
      <w:r>
        <w:t xml:space="preserve">158 </w:t>
      </w:r>
      <w:proofErr w:type="spellStart"/>
      <w:r>
        <w:t>pt</w:t>
      </w:r>
      <w:proofErr w:type="spellEnd"/>
      <w:r>
        <w:t xml:space="preserve"> font for title is best practice, 72 </w:t>
      </w:r>
      <w:proofErr w:type="spellStart"/>
      <w:r>
        <w:t>pt</w:t>
      </w:r>
      <w:proofErr w:type="spellEnd"/>
      <w:r>
        <w:t xml:space="preserve"> font </w:t>
      </w:r>
      <w:proofErr w:type="gramStart"/>
      <w:r>
        <w:t>minimum</w:t>
      </w:r>
      <w:proofErr w:type="gramEnd"/>
    </w:p>
    <w:p w:rsidR="00E256FA" w:rsidP="00E256FA" w:rsidRDefault="00E256FA" w14:paraId="524C3EAF" w14:textId="1B56D4B8">
      <w:pPr>
        <w:pStyle w:val="ListParagraph"/>
        <w:numPr>
          <w:ilvl w:val="1"/>
          <w:numId w:val="1"/>
        </w:numPr>
      </w:pPr>
      <w:r>
        <w:t xml:space="preserve">Section title should be 56 </w:t>
      </w:r>
      <w:proofErr w:type="spellStart"/>
      <w:r>
        <w:t>pt</w:t>
      </w:r>
      <w:proofErr w:type="spellEnd"/>
      <w:r>
        <w:t xml:space="preserve">, 46 </w:t>
      </w:r>
      <w:proofErr w:type="spellStart"/>
      <w:r>
        <w:t>pt</w:t>
      </w:r>
      <w:proofErr w:type="spellEnd"/>
      <w:r>
        <w:t xml:space="preserve"> </w:t>
      </w:r>
      <w:proofErr w:type="gramStart"/>
      <w:r>
        <w:t>minimum</w:t>
      </w:r>
      <w:proofErr w:type="gramEnd"/>
    </w:p>
    <w:p w:rsidR="00E256FA" w:rsidP="00E256FA" w:rsidRDefault="00E256FA" w14:paraId="315EB6FF" w14:textId="470212C4">
      <w:pPr>
        <w:pStyle w:val="ListParagraph"/>
        <w:numPr>
          <w:ilvl w:val="1"/>
          <w:numId w:val="1"/>
        </w:numPr>
      </w:pPr>
      <w:r>
        <w:t xml:space="preserve">Body text should be 36 </w:t>
      </w:r>
      <w:proofErr w:type="spellStart"/>
      <w:r>
        <w:t>pt</w:t>
      </w:r>
      <w:proofErr w:type="spellEnd"/>
      <w:r>
        <w:t xml:space="preserve"> with a 24 </w:t>
      </w:r>
      <w:proofErr w:type="spellStart"/>
      <w:r>
        <w:t>pt</w:t>
      </w:r>
      <w:proofErr w:type="spellEnd"/>
      <w:r>
        <w:t xml:space="preserve"> minimum. </w:t>
      </w:r>
    </w:p>
    <w:p w:rsidR="00C54D0F" w:rsidP="00C54D0F" w:rsidRDefault="00C54D0F" w14:paraId="3BEB1033" w14:textId="27E39446">
      <w:pPr>
        <w:pStyle w:val="ListParagraph"/>
        <w:numPr>
          <w:ilvl w:val="1"/>
          <w:numId w:val="1"/>
        </w:numPr>
      </w:pPr>
      <w:r>
        <w:t>San serif fonts include, but are not limited to:</w:t>
      </w:r>
    </w:p>
    <w:p w:rsidR="00C54D0F" w:rsidP="00C54D0F" w:rsidRDefault="00C54D0F" w14:paraId="277285A7" w14:textId="3778DADF">
      <w:pPr>
        <w:pStyle w:val="ListParagraph"/>
        <w:numPr>
          <w:ilvl w:val="2"/>
          <w:numId w:val="1"/>
        </w:numPr>
      </w:pPr>
      <w:r>
        <w:t>Helvetica</w:t>
      </w:r>
    </w:p>
    <w:p w:rsidR="00C54D0F" w:rsidP="00C54D0F" w:rsidRDefault="00C54D0F" w14:paraId="465F3591" w14:textId="02594151">
      <w:pPr>
        <w:pStyle w:val="ListParagraph"/>
        <w:numPr>
          <w:ilvl w:val="2"/>
          <w:numId w:val="1"/>
        </w:numPr>
      </w:pPr>
      <w:r>
        <w:t>Calibri</w:t>
      </w:r>
    </w:p>
    <w:p w:rsidR="00C54D0F" w:rsidP="00C54D0F" w:rsidRDefault="00C54D0F" w14:paraId="5DEDA365" w14:textId="51D3CD02">
      <w:pPr>
        <w:pStyle w:val="ListParagraph"/>
        <w:numPr>
          <w:ilvl w:val="2"/>
          <w:numId w:val="1"/>
        </w:numPr>
      </w:pPr>
      <w:r>
        <w:t>Ariel</w:t>
      </w:r>
    </w:p>
    <w:p w:rsidR="00C54D0F" w:rsidP="00C54D0F" w:rsidRDefault="00C54D0F" w14:paraId="730A1128" w14:textId="7E5F459D">
      <w:pPr>
        <w:pStyle w:val="ListParagraph"/>
        <w:numPr>
          <w:ilvl w:val="2"/>
          <w:numId w:val="1"/>
        </w:numPr>
      </w:pPr>
      <w:r>
        <w:t>Futura</w:t>
      </w:r>
    </w:p>
    <w:p w:rsidR="00C54D0F" w:rsidP="00C54D0F" w:rsidRDefault="00C54D0F" w14:paraId="6C3D3840" w14:textId="5E59C8CC">
      <w:pPr>
        <w:pStyle w:val="ListParagraph"/>
        <w:numPr>
          <w:ilvl w:val="2"/>
          <w:numId w:val="1"/>
        </w:numPr>
      </w:pPr>
      <w:r>
        <w:t>Microsoft San Serif</w:t>
      </w:r>
    </w:p>
    <w:p w:rsidR="00C54D0F" w:rsidP="00C54D0F" w:rsidRDefault="00C54D0F" w14:paraId="02D96D9D" w14:textId="3E8F0B60" w14:noSpellErr="1">
      <w:pPr>
        <w:pStyle w:val="ListParagraph"/>
        <w:numPr>
          <w:ilvl w:val="2"/>
          <w:numId w:val="1"/>
        </w:numPr>
        <w:rPr/>
      </w:pPr>
      <w:r w:rsidR="2A736E06">
        <w:rPr/>
        <w:t>Verdana</w:t>
      </w:r>
    </w:p>
    <w:p w:rsidR="2A736E06" w:rsidP="2A736E06" w:rsidRDefault="2A736E06" w14:paraId="18B35071" w14:textId="384B088A">
      <w:pPr>
        <w:pStyle w:val="Heading3"/>
      </w:pPr>
      <w:r w:rsidR="2A736E06">
        <w:rPr/>
        <w:t>Day of:</w:t>
      </w:r>
    </w:p>
    <w:p w:rsidR="00E256FA" w:rsidP="00E256FA" w:rsidRDefault="00E256FA" w14:paraId="7207C2B6" w14:textId="4AA79ECC">
      <w:pPr>
        <w:pStyle w:val="ListParagraph"/>
        <w:numPr>
          <w:ilvl w:val="0"/>
          <w:numId w:val="1"/>
        </w:numPr>
        <w:rPr/>
      </w:pPr>
      <w:r w:rsidR="2A736E06">
        <w:rPr/>
        <w:t>When you have images or figures on your poster, be prepared to fully describe each of those items and what they mean without relying on the person being sighted. (add image descriptions as well- Deaf/ Hard of Hearing/sensory processing)</w:t>
      </w:r>
    </w:p>
    <w:p w:rsidR="00C54D0F" w:rsidP="00900490" w:rsidRDefault="00C54D0F" w14:paraId="05D47E65" w14:textId="1C6F7D85">
      <w:pPr>
        <w:pStyle w:val="ListParagraph"/>
        <w:numPr>
          <w:ilvl w:val="0"/>
          <w:numId w:val="1"/>
        </w:numPr>
        <w:rPr/>
      </w:pPr>
      <w:r w:rsidR="2A736E06">
        <w:rPr/>
        <w:t>If presenting for an online poster conference, do not utilize transitions in your PowerPoint</w:t>
      </w:r>
      <w:r w:rsidR="2A736E06">
        <w:rPr/>
        <w:t xml:space="preserve"> </w:t>
      </w:r>
      <w:proofErr w:type="gramStart"/>
      <w:r w:rsidR="2A736E06">
        <w:rPr/>
        <w:t>in order to</w:t>
      </w:r>
      <w:proofErr w:type="gramEnd"/>
      <w:r w:rsidR="2A736E06">
        <w:rPr/>
        <w:t xml:space="preserve"> reduce risk of inducing seizures in those who are vulnerable to that</w:t>
      </w:r>
      <w:r w:rsidR="2A736E06">
        <w:rPr/>
        <w:t xml:space="preserve">. </w:t>
      </w:r>
    </w:p>
    <w:p w:rsidR="00CC4501" w:rsidP="00CC4501" w:rsidRDefault="00CC4501" w14:paraId="60E71B74" w14:textId="77777777">
      <w:pPr>
        <w:pStyle w:val="ListParagraph"/>
      </w:pPr>
    </w:p>
    <w:p w:rsidR="00CC4501" w:rsidP="00857FD3" w:rsidRDefault="001B3443" w14:paraId="6EEF858E" w14:textId="50A53404">
      <w:pPr>
        <w:pStyle w:val="Heading1"/>
      </w:pPr>
      <w:r>
        <w:t>Event Planning Considerations</w:t>
      </w:r>
    </w:p>
    <w:p w:rsidR="00900490" w:rsidP="00900490" w:rsidRDefault="00D12FC6" w14:paraId="1696D416" w14:textId="1B2EDA6F">
      <w:pPr>
        <w:pStyle w:val="ListParagraph"/>
        <w:numPr>
          <w:ilvl w:val="0"/>
          <w:numId w:val="1"/>
        </w:numPr>
        <w:rPr/>
      </w:pPr>
      <w:r w:rsidR="2A736E06">
        <w:rPr/>
        <w:t>standard poster size- midpoint at 48”ish</w:t>
      </w:r>
    </w:p>
    <w:p w:rsidR="00425387" w:rsidP="00900490" w:rsidRDefault="00101332" w14:paraId="11E97C1C" w14:textId="77E39D0E">
      <w:pPr>
        <w:pStyle w:val="ListParagraph"/>
        <w:numPr>
          <w:ilvl w:val="0"/>
          <w:numId w:val="1"/>
        </w:numPr>
      </w:pPr>
      <w:r>
        <w:t>Pathways of 36” should be a minimum.</w:t>
      </w:r>
    </w:p>
    <w:p w:rsidR="00025A3A" w:rsidP="00900490" w:rsidRDefault="00025A3A" w14:paraId="7BE90E16" w14:textId="3678C23E">
      <w:pPr>
        <w:pStyle w:val="ListParagraph"/>
        <w:numPr>
          <w:ilvl w:val="0"/>
          <w:numId w:val="1"/>
        </w:numPr>
      </w:pPr>
      <w:r>
        <w:t xml:space="preserve">Spacing of posters to allow for space to maneuver, (turning radius), 4 ft spacing? -allows for mobility, sensory, hearing, </w:t>
      </w:r>
      <w:proofErr w:type="spellStart"/>
      <w:r>
        <w:t>etc</w:t>
      </w:r>
      <w:proofErr w:type="spellEnd"/>
      <w:r>
        <w:t xml:space="preserve"> and impacts on- </w:t>
      </w:r>
    </w:p>
    <w:p w:rsidR="00101332" w:rsidP="00900490" w:rsidRDefault="00101332" w14:paraId="531655A3" w14:textId="77777777">
      <w:pPr>
        <w:pStyle w:val="ListParagraph"/>
        <w:numPr>
          <w:ilvl w:val="0"/>
          <w:numId w:val="1"/>
        </w:numPr>
      </w:pPr>
      <w:r>
        <w:t>At EPNEC, the posterboards are rented from an outside company. Monitors are at 52” on stands with no way to adjust them to a middle height- it can either be at 36” or 52”. This puts the top of the image at 6 to 7’ tall.</w:t>
      </w:r>
    </w:p>
    <w:p w:rsidR="00101332" w:rsidP="00900490" w:rsidRDefault="00101332" w14:paraId="71CB59B3" w14:textId="49A930EA">
      <w:pPr>
        <w:pStyle w:val="ListParagraph"/>
        <w:numPr>
          <w:ilvl w:val="0"/>
          <w:numId w:val="1"/>
        </w:numPr>
      </w:pPr>
      <w:r>
        <w:lastRenderedPageBreak/>
        <w:t xml:space="preserve">At EPNEC, assistive listening devices are available. Always plan on using a microphone to speak if they’re available, as they connect to the assistive listening devices. </w:t>
      </w:r>
    </w:p>
    <w:p w:rsidR="00101332" w:rsidP="00101332" w:rsidRDefault="00101332" w14:paraId="2F5C1034" w14:textId="44DC1C76">
      <w:pPr>
        <w:pStyle w:val="ListParagraph"/>
        <w:numPr>
          <w:ilvl w:val="0"/>
          <w:numId w:val="1"/>
        </w:numPr>
      </w:pPr>
      <w:r>
        <w:t xml:space="preserve">For EPNEC, the teams there prefer more time to assist with needs- for AV, contact Tod Stewart at </w:t>
      </w:r>
      <w:hyperlink w:history="1" r:id="rId6">
        <w:r w:rsidRPr="000C626E">
          <w:rPr>
            <w:rStyle w:val="Hyperlink"/>
          </w:rPr>
          <w:t>stewartt@wustl.edu</w:t>
        </w:r>
      </w:hyperlink>
      <w:r>
        <w:t xml:space="preserve"> and Christine </w:t>
      </w:r>
      <w:proofErr w:type="spellStart"/>
      <w:r>
        <w:t>Jochim</w:t>
      </w:r>
      <w:proofErr w:type="spellEnd"/>
      <w:r>
        <w:t xml:space="preserve"> for events at jochimc@wustl.edu.</w:t>
      </w:r>
    </w:p>
    <w:p w:rsidR="00101332" w:rsidP="00900490" w:rsidRDefault="00101332" w14:paraId="31E93B2A" w14:textId="77777777">
      <w:pPr>
        <w:pStyle w:val="ListParagraph"/>
        <w:numPr>
          <w:ilvl w:val="0"/>
          <w:numId w:val="1"/>
        </w:numPr>
      </w:pPr>
      <w:r>
        <w:t xml:space="preserve">An option might be to put chairs at monitor side to present and set everything to wheelchair height if multiple individuals will be attending in chairs. </w:t>
      </w:r>
    </w:p>
    <w:p w:rsidR="00101332" w:rsidP="00900490" w:rsidRDefault="00101332" w14:paraId="39E367E0" w14:textId="77777777">
      <w:pPr>
        <w:pStyle w:val="ListParagraph"/>
        <w:numPr>
          <w:ilvl w:val="0"/>
          <w:numId w:val="1"/>
        </w:numPr>
      </w:pPr>
      <w:r>
        <w:t>Consider offering facilitated hours for poster walkthroughs for those who have access needs.</w:t>
      </w:r>
    </w:p>
    <w:p w:rsidR="00101332" w:rsidP="00900490" w:rsidRDefault="00101332" w14:paraId="4F443611" w14:textId="4450CCB7">
      <w:pPr>
        <w:pStyle w:val="ListParagraph"/>
        <w:numPr>
          <w:ilvl w:val="0"/>
          <w:numId w:val="1"/>
        </w:numPr>
        <w:rPr/>
      </w:pPr>
      <w:r w:rsidR="2A736E06">
        <w:rPr/>
        <w:t xml:space="preserve">Posters should be available and placed on the posterboards before the facilitated walk-through that’s set. </w:t>
      </w:r>
    </w:p>
    <w:p w:rsidR="00D12FC6" w:rsidP="00900490" w:rsidRDefault="00101332" w14:paraId="13C6149D" w14:textId="22269412">
      <w:pPr>
        <w:pStyle w:val="ListParagraph"/>
        <w:numPr>
          <w:ilvl w:val="0"/>
          <w:numId w:val="1"/>
        </w:numPr>
      </w:pPr>
      <w:r>
        <w:t xml:space="preserve">Training of facilitators should include an awareness of the space, and of different access needs that are possibly in the group of people involved. </w:t>
      </w:r>
      <w:r>
        <w:br/>
      </w:r>
    </w:p>
    <w:p w:rsidRPr="008F757B" w:rsidR="00101332" w:rsidP="00900490" w:rsidRDefault="008F757B" w14:paraId="71F2BAA1" w14:textId="08F8B72B">
      <w:pPr>
        <w:pStyle w:val="ListParagraph"/>
        <w:numPr>
          <w:ilvl w:val="0"/>
          <w:numId w:val="1"/>
        </w:numPr>
        <w:rPr>
          <w:highlight w:val="yellow"/>
        </w:rPr>
      </w:pPr>
      <w:r w:rsidRPr="008F757B">
        <w:rPr>
          <w:highlight w:val="yellow"/>
        </w:rPr>
        <w:t>Deciding on PP vs PDF for online formats</w:t>
      </w:r>
    </w:p>
    <w:p w:rsidR="00900490" w:rsidP="00900490" w:rsidRDefault="00900490" w14:paraId="6E846259" w14:textId="3A957C15">
      <w:r>
        <w:t>Bibliography:</w:t>
      </w:r>
    </w:p>
    <w:p w:rsidR="00900490" w:rsidP="00900490" w:rsidRDefault="00900490" w14:paraId="23826E76" w14:textId="77777777"/>
    <w:p w:rsidR="00900490" w:rsidP="00900490" w:rsidRDefault="00000000" w14:paraId="37B2699B" w14:textId="5BD6645B">
      <w:hyperlink w:history="1" r:id="rId7">
        <w:r w:rsidRPr="00900490" w:rsidR="00900490">
          <w:rPr>
            <w:rStyle w:val="Hyperlink"/>
          </w:rPr>
          <w:t>UW DO-IT</w:t>
        </w:r>
      </w:hyperlink>
    </w:p>
    <w:p w:rsidR="00900490" w:rsidP="00900490" w:rsidRDefault="00000000" w14:paraId="134B8A26" w14:textId="1118183F">
      <w:pPr>
        <w:rPr>
          <w:rFonts w:cstheme="minorHAnsi"/>
          <w:color w:val="000000"/>
          <w:spacing w:val="-2"/>
        </w:rPr>
      </w:pPr>
      <w:hyperlink w:history="1" r:id="rId8">
        <w:r w:rsidRPr="00900490" w:rsidR="00900490">
          <w:rPr>
            <w:rStyle w:val="Hyperlink"/>
          </w:rPr>
          <w:t>American Anthropological Association</w:t>
        </w:r>
      </w:hyperlink>
      <w:r w:rsidR="00900490">
        <w:br/>
      </w:r>
      <w:hyperlink w:history="1" r:id="rId9">
        <w:r w:rsidRPr="00900490" w:rsidR="00900490">
          <w:rPr>
            <w:rStyle w:val="Hyperlink"/>
            <w:rFonts w:cstheme="minorHAnsi"/>
            <w:spacing w:val="-2"/>
          </w:rPr>
          <w:t>A Guide to Implementing Inclusive and Accessible Virtual Poster Sessions</w:t>
        </w:r>
      </w:hyperlink>
    </w:p>
    <w:p w:rsidRPr="00900490" w:rsidR="00900490" w:rsidP="00900490" w:rsidRDefault="00000000" w14:paraId="7625FE49" w14:textId="7F4E0133">
      <w:hyperlink w:history="1" r:id="rId10">
        <w:r w:rsidRPr="00900490" w:rsidR="00900490">
          <w:rPr>
            <w:rStyle w:val="Hyperlink"/>
            <w:rFonts w:cstheme="minorHAnsi"/>
            <w:spacing w:val="-2"/>
          </w:rPr>
          <w:t>CUNY A11y Do/Don’t Guides</w:t>
        </w:r>
      </w:hyperlink>
      <w:r w:rsidR="00900490">
        <w:rPr>
          <w:rFonts w:cstheme="minorHAnsi"/>
          <w:color w:val="000000"/>
          <w:spacing w:val="-2"/>
        </w:rPr>
        <w:br/>
      </w:r>
      <w:hyperlink w:history="1" r:id="rId11">
        <w:r w:rsidRPr="00900490" w:rsidR="00900490">
          <w:rPr>
            <w:rStyle w:val="Hyperlink"/>
            <w:rFonts w:cstheme="minorHAnsi"/>
            <w:spacing w:val="-2"/>
          </w:rPr>
          <w:t>University of Arizona Accessible Presentations</w:t>
        </w:r>
      </w:hyperlink>
    </w:p>
    <w:p w:rsidR="00900490" w:rsidP="00900490" w:rsidRDefault="00000000" w14:paraId="29D42B8D" w14:textId="2136912F">
      <w:hyperlink w:history="1" r:id="rId12">
        <w:r w:rsidRPr="00D12FC6" w:rsidR="00D12FC6">
          <w:rPr>
            <w:rStyle w:val="Hyperlink"/>
          </w:rPr>
          <w:t>Accessible Social- Images and Visuals</w:t>
        </w:r>
      </w:hyperlink>
    </w:p>
    <w:p w:rsidR="00BB2F7A" w:rsidP="00900490" w:rsidRDefault="00000000" w14:paraId="5B4FE0AC" w14:textId="5461E82C">
      <w:pPr>
        <w:rPr>
          <w:rStyle w:val="Hyperlink"/>
        </w:rPr>
      </w:pPr>
      <w:hyperlink w:history="1" r:id="rId13">
        <w:r w:rsidRPr="0085450B" w:rsidR="0085450B">
          <w:rPr>
            <w:rStyle w:val="Hyperlink"/>
          </w:rPr>
          <w:t>WCAG</w:t>
        </w:r>
      </w:hyperlink>
    </w:p>
    <w:p w:rsidR="00BB2F7A" w:rsidP="00900490" w:rsidRDefault="00BB2F7A" w14:paraId="5738F31E" w14:textId="4B7E1315">
      <w:pPr>
        <w:rPr>
          <w:rStyle w:val="Hyperlink"/>
        </w:rPr>
      </w:pPr>
      <w:r>
        <w:rPr>
          <w:rStyle w:val="Hyperlink"/>
        </w:rPr>
        <w:t xml:space="preserve">American College of </w:t>
      </w:r>
      <w:hyperlink w:history="1" r:id="rId14">
        <w:r w:rsidRPr="00BB2F7A">
          <w:rPr>
            <w:rStyle w:val="Hyperlink"/>
          </w:rPr>
          <w:t>Physicians</w:t>
        </w:r>
      </w:hyperlink>
    </w:p>
    <w:p w:rsidR="0035509A" w:rsidP="00900490" w:rsidRDefault="00000000" w14:paraId="481E678E" w14:textId="25A2C87C">
      <w:pPr>
        <w:rPr>
          <w:color w:val="0563C1" w:themeColor="hyperlink"/>
          <w:u w:val="single"/>
        </w:rPr>
      </w:pPr>
      <w:hyperlink w:history="1" r:id="rId15">
        <w:r w:rsidRPr="00196F46" w:rsidR="0035509A">
          <w:rPr>
            <w:rStyle w:val="Hyperlink"/>
          </w:rPr>
          <w:t>https://www.insidehighered.com/news/2019/06/24/theres-movement-better-scientific-posters-are-they-really-better</w:t>
        </w:r>
      </w:hyperlink>
    </w:p>
    <w:p w:rsidR="2A736E06" w:rsidP="2A736E06" w:rsidRDefault="2A736E06" w14:noSpellErr="1" w14:paraId="72E88C20" w14:textId="10EA4995">
      <w:pPr>
        <w:rPr>
          <w:color w:val="0563C1"/>
          <w:u w:val="single"/>
        </w:rPr>
      </w:pPr>
      <w:hyperlink r:id="Ra39c82abb13d41c2">
        <w:r w:rsidRPr="2A736E06" w:rsidR="2A736E06">
          <w:rPr>
            <w:rStyle w:val="Hyperlink"/>
          </w:rPr>
          <w:t>https://patientsincluded.org/ethics/</w:t>
        </w:r>
      </w:hyperlink>
    </w:p>
    <w:p w:rsidR="2A736E06" w:rsidP="2A736E06" w:rsidRDefault="2A736E06" w14:paraId="03F31BCC" w14:textId="1D03EA33">
      <w:pPr>
        <w:pStyle w:val="Normal"/>
      </w:pPr>
    </w:p>
    <w:p w:rsidR="2A736E06" w:rsidP="2A736E06" w:rsidRDefault="2A736E06" w14:paraId="0E5A24AE" w14:textId="7BFDFAEC">
      <w:pPr>
        <w:pStyle w:val="Normal"/>
      </w:pPr>
      <w:r>
        <w:drawing>
          <wp:inline wp14:editId="0903DD45" wp14:anchorId="437FA33F">
            <wp:extent cx="5489458" cy="560833"/>
            <wp:effectExtent l="0" t="0" r="0" b="0"/>
            <wp:docPr id="1815167454" name="" title=""/>
            <wp:cNvGraphicFramePr>
              <a:graphicFrameLocks noChangeAspect="1"/>
            </wp:cNvGraphicFramePr>
            <a:graphic>
              <a:graphicData uri="http://schemas.openxmlformats.org/drawingml/2006/picture">
                <pic:pic>
                  <pic:nvPicPr>
                    <pic:cNvPr id="0" name=""/>
                    <pic:cNvPicPr/>
                  </pic:nvPicPr>
                  <pic:blipFill>
                    <a:blip r:embed="R019ccda192ae4556">
                      <a:extLst>
                        <a:ext xmlns:a="http://schemas.openxmlformats.org/drawingml/2006/main" uri="{28A0092B-C50C-407E-A947-70E740481C1C}">
                          <a14:useLocalDpi val="0"/>
                        </a:ext>
                      </a:extLst>
                    </a:blip>
                    <a:stretch>
                      <a:fillRect/>
                    </a:stretch>
                  </pic:blipFill>
                  <pic:spPr>
                    <a:xfrm>
                      <a:off x="0" y="0"/>
                      <a:ext cx="5489458" cy="560833"/>
                    </a:xfrm>
                    <a:prstGeom prst="rect">
                      <a:avLst/>
                    </a:prstGeom>
                  </pic:spPr>
                </pic:pic>
              </a:graphicData>
            </a:graphic>
          </wp:inline>
        </w:drawing>
      </w:r>
    </w:p>
    <w:sectPr w:rsidRPr="00BB2F7A" w:rsidR="0035509A" w:rsidSect="00CE780D">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92878"/>
    <w:multiLevelType w:val="hybridMultilevel"/>
    <w:tmpl w:val="8FCAD11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5325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FA"/>
    <w:rsid w:val="0001696B"/>
    <w:rsid w:val="00025A3A"/>
    <w:rsid w:val="00101332"/>
    <w:rsid w:val="00114877"/>
    <w:rsid w:val="00174D75"/>
    <w:rsid w:val="001B3443"/>
    <w:rsid w:val="0035509A"/>
    <w:rsid w:val="00425387"/>
    <w:rsid w:val="00554809"/>
    <w:rsid w:val="00656E80"/>
    <w:rsid w:val="0066504A"/>
    <w:rsid w:val="00724A79"/>
    <w:rsid w:val="0085450B"/>
    <w:rsid w:val="00857FD3"/>
    <w:rsid w:val="00860E8C"/>
    <w:rsid w:val="008827F5"/>
    <w:rsid w:val="008F757B"/>
    <w:rsid w:val="00900490"/>
    <w:rsid w:val="009270CB"/>
    <w:rsid w:val="009B584C"/>
    <w:rsid w:val="00B3662E"/>
    <w:rsid w:val="00BB2F7A"/>
    <w:rsid w:val="00C54D0F"/>
    <w:rsid w:val="00CC4501"/>
    <w:rsid w:val="00CC68C9"/>
    <w:rsid w:val="00CE04CD"/>
    <w:rsid w:val="00CE780D"/>
    <w:rsid w:val="00D12FC6"/>
    <w:rsid w:val="00E256FA"/>
    <w:rsid w:val="00FE3C00"/>
    <w:rsid w:val="2A736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1F59BB"/>
  <w15:docId w15:val="{E9A9D411-663F-F047-A064-B0C7A0FB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256FA"/>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56FA"/>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256FA"/>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E256FA"/>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E256FA"/>
    <w:pPr>
      <w:ind w:left="720"/>
      <w:contextualSpacing/>
    </w:pPr>
  </w:style>
  <w:style w:type="character" w:styleId="Hyperlink">
    <w:name w:val="Hyperlink"/>
    <w:basedOn w:val="DefaultParagraphFont"/>
    <w:uiPriority w:val="99"/>
    <w:unhideWhenUsed/>
    <w:rsid w:val="00900490"/>
    <w:rPr>
      <w:color w:val="0563C1" w:themeColor="hyperlink"/>
      <w:u w:val="single"/>
    </w:rPr>
  </w:style>
  <w:style w:type="character" w:styleId="UnresolvedMention">
    <w:name w:val="Unresolved Mention"/>
    <w:basedOn w:val="DefaultParagraphFont"/>
    <w:uiPriority w:val="99"/>
    <w:semiHidden/>
    <w:unhideWhenUsed/>
    <w:rsid w:val="00900490"/>
    <w:rPr>
      <w:color w:val="605E5C"/>
      <w:shd w:val="clear" w:color="auto" w:fill="E1DFDD"/>
    </w:rPr>
  </w:style>
  <w:style w:type="character" w:styleId="FollowedHyperlink">
    <w:name w:val="FollowedHyperlink"/>
    <w:basedOn w:val="DefaultParagraphFont"/>
    <w:uiPriority w:val="99"/>
    <w:semiHidden/>
    <w:unhideWhenUsed/>
    <w:rsid w:val="00900490"/>
    <w:rPr>
      <w:color w:val="954F72" w:themeColor="followedHyperlink"/>
      <w:u w:val="single"/>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469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americananthro.org/accessibility/poster-gallery-session-guidelines/" TargetMode="External" Id="rId8" /><Relationship Type="http://schemas.openxmlformats.org/officeDocument/2006/relationships/hyperlink" Target="https://www.w3.org/WAI/standards-guidelines/wcag/" TargetMode="External" Id="rId13" /><Relationship Type="http://schemas.openxmlformats.org/officeDocument/2006/relationships/settings" Target="settings.xml" Id="rId3" /><Relationship Type="http://schemas.openxmlformats.org/officeDocument/2006/relationships/hyperlink" Target="https://www.washington.edu/doit/how-can-i-create-conference-poster-accessible-people-disabilities" TargetMode="External" Id="rId7" /><Relationship Type="http://schemas.openxmlformats.org/officeDocument/2006/relationships/hyperlink" Target="https://www.accessible-social.com/images-and-visuals"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hyperlink" Target="mailto:stewartt@wustl.edu" TargetMode="External" Id="rId6" /><Relationship Type="http://schemas.openxmlformats.org/officeDocument/2006/relationships/hyperlink" Target="https://accessibility.arizona.edu/content/presentations" TargetMode="External" Id="rId11" /><Relationship Type="http://schemas.openxmlformats.org/officeDocument/2006/relationships/hyperlink" Target="https://www.insidehighered.com/news/2019/06/24/theres-movement-better-scientific-posters-are-they-really-better" TargetMode="External" Id="rId15" /><Relationship Type="http://schemas.openxmlformats.org/officeDocument/2006/relationships/hyperlink" Target="https://guides.cuny.edu/accessibility/a11ydodont" TargetMode="External" Id="rId10" /><Relationship Type="http://schemas.openxmlformats.org/officeDocument/2006/relationships/webSettings" Target="webSettings.xml" Id="rId4" /><Relationship Type="http://schemas.openxmlformats.org/officeDocument/2006/relationships/hyperlink" Target="https://www.ncbi.nlm.nih.gov/pmc/articles/PMC9053039/" TargetMode="External" Id="rId9" /><Relationship Type="http://schemas.openxmlformats.org/officeDocument/2006/relationships/hyperlink" Target="https://www.acponline.org/membership/residents/competitions-awards/acp-national-abstract-competitions/guide-to-preparing-for-the-abstract-competition/preparing-a-poster-presentation" TargetMode="External" Id="rId14" /><Relationship Type="http://schemas.openxmlformats.org/officeDocument/2006/relationships/hyperlink" Target="https://webaim.org/resources/contrastchecker/" TargetMode="External" Id="Rc54bea4eeed44340" /><Relationship Type="http://schemas.openxmlformats.org/officeDocument/2006/relationships/hyperlink" Target="https://patientsincluded.org/ethics/" TargetMode="External" Id="Ra39c82abb13d41c2" /><Relationship Type="http://schemas.openxmlformats.org/officeDocument/2006/relationships/image" Target="/media/image.png" Id="R019ccda192ae455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Singer, Vicki</dc:creator>
  <keywords/>
  <dc:description/>
  <lastModifiedBy>Singer, Vicki</lastModifiedBy>
  <revision>14</revision>
  <dcterms:created xsi:type="dcterms:W3CDTF">2024-02-27T15:45:00.0000000Z</dcterms:created>
  <dcterms:modified xsi:type="dcterms:W3CDTF">2024-06-03T13:57:49.8253133Z</dcterms:modified>
</coreProperties>
</file>